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3611DD" w:rsidRPr="003611DD" w:rsidTr="003611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611DD" w:rsidRPr="003611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1DD" w:rsidRPr="003611DD" w:rsidRDefault="003611DD" w:rsidP="003611DD">
                  <w:pPr>
                    <w:spacing w:after="0" w:line="240" w:lineRule="atLeast"/>
                    <w:rPr>
                      <w:rFonts w:ascii="Times New Roman" w:eastAsia="Times New Roman" w:hAnsi="Times New Roman" w:cs="Times New Roman"/>
                      <w:sz w:val="24"/>
                      <w:szCs w:val="24"/>
                      <w:lang w:eastAsia="tr-TR"/>
                    </w:rPr>
                  </w:pPr>
                  <w:r w:rsidRPr="003611DD">
                    <w:rPr>
                      <w:rFonts w:ascii="Arial" w:eastAsia="Times New Roman" w:hAnsi="Arial" w:cs="Arial"/>
                      <w:sz w:val="16"/>
                      <w:szCs w:val="16"/>
                      <w:lang w:eastAsia="tr-TR"/>
                    </w:rPr>
                    <w:t>25 Ocak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1DD" w:rsidRPr="003611DD" w:rsidRDefault="003611DD" w:rsidP="003611DD">
                  <w:pPr>
                    <w:spacing w:after="0" w:line="240" w:lineRule="atLeast"/>
                    <w:jc w:val="center"/>
                    <w:rPr>
                      <w:rFonts w:ascii="Times New Roman" w:eastAsia="Times New Roman" w:hAnsi="Times New Roman" w:cs="Times New Roman"/>
                      <w:sz w:val="24"/>
                      <w:szCs w:val="24"/>
                      <w:lang w:eastAsia="tr-TR"/>
                    </w:rPr>
                  </w:pPr>
                  <w:r w:rsidRPr="003611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611DD" w:rsidRPr="003611DD" w:rsidRDefault="003611DD" w:rsidP="003611D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611DD">
                    <w:rPr>
                      <w:rFonts w:ascii="Arial" w:eastAsia="Times New Roman" w:hAnsi="Arial" w:cs="Arial"/>
                      <w:sz w:val="16"/>
                      <w:szCs w:val="16"/>
                      <w:lang w:eastAsia="tr-TR"/>
                    </w:rPr>
                    <w:t>Sayı : 30312</w:t>
                  </w:r>
                </w:p>
              </w:tc>
            </w:tr>
            <w:tr w:rsidR="003611DD" w:rsidRPr="003611DD">
              <w:trPr>
                <w:trHeight w:val="480"/>
                <w:jc w:val="center"/>
              </w:trPr>
              <w:tc>
                <w:tcPr>
                  <w:tcW w:w="8789" w:type="dxa"/>
                  <w:gridSpan w:val="3"/>
                  <w:tcMar>
                    <w:top w:w="0" w:type="dxa"/>
                    <w:left w:w="108" w:type="dxa"/>
                    <w:bottom w:w="0" w:type="dxa"/>
                    <w:right w:w="108" w:type="dxa"/>
                  </w:tcMar>
                  <w:vAlign w:val="center"/>
                  <w:hideMark/>
                </w:tcPr>
                <w:p w:rsidR="003611DD" w:rsidRPr="003611DD" w:rsidRDefault="003611DD" w:rsidP="003611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11DD">
                    <w:rPr>
                      <w:rFonts w:ascii="Arial" w:eastAsia="Times New Roman" w:hAnsi="Arial" w:cs="Arial"/>
                      <w:b/>
                      <w:bCs/>
                      <w:color w:val="000080"/>
                      <w:sz w:val="18"/>
                      <w:szCs w:val="18"/>
                      <w:lang w:eastAsia="tr-TR"/>
                    </w:rPr>
                    <w:t>TEBLİĞ</w:t>
                  </w:r>
                </w:p>
              </w:tc>
            </w:tr>
            <w:tr w:rsidR="003611DD" w:rsidRPr="003611DD">
              <w:trPr>
                <w:trHeight w:val="480"/>
                <w:jc w:val="center"/>
              </w:trPr>
              <w:tc>
                <w:tcPr>
                  <w:tcW w:w="8789" w:type="dxa"/>
                  <w:gridSpan w:val="3"/>
                  <w:tcMar>
                    <w:top w:w="0" w:type="dxa"/>
                    <w:left w:w="108" w:type="dxa"/>
                    <w:bottom w:w="0" w:type="dxa"/>
                    <w:right w:w="108" w:type="dxa"/>
                  </w:tcMar>
                  <w:vAlign w:val="center"/>
                  <w:hideMark/>
                </w:tcPr>
                <w:p w:rsidR="003611DD" w:rsidRPr="003611DD" w:rsidRDefault="003611DD" w:rsidP="003611DD">
                  <w:pPr>
                    <w:spacing w:after="0" w:line="240" w:lineRule="atLeast"/>
                    <w:ind w:firstLine="566"/>
                    <w:jc w:val="both"/>
                    <w:rPr>
                      <w:rFonts w:ascii="Times New Roman" w:eastAsia="Times New Roman" w:hAnsi="Times New Roman" w:cs="Times New Roman"/>
                      <w:u w:val="single"/>
                      <w:lang w:eastAsia="tr-TR"/>
                    </w:rPr>
                  </w:pPr>
                  <w:r w:rsidRPr="003611DD">
                    <w:rPr>
                      <w:rFonts w:ascii="Times New Roman" w:eastAsia="Times New Roman" w:hAnsi="Times New Roman" w:cs="Times New Roman"/>
                      <w:sz w:val="18"/>
                      <w:szCs w:val="18"/>
                      <w:u w:val="single"/>
                      <w:lang w:eastAsia="tr-TR"/>
                    </w:rPr>
                    <w:t>Başbakanlık (Hazine Müsteşarlığı)’tan:</w:t>
                  </w:r>
                </w:p>
                <w:p w:rsidR="003611DD" w:rsidRPr="003611DD" w:rsidRDefault="003611DD" w:rsidP="003611DD">
                  <w:pPr>
                    <w:spacing w:before="56" w:after="0" w:line="240" w:lineRule="atLeast"/>
                    <w:jc w:val="center"/>
                    <w:rPr>
                      <w:rFonts w:ascii="Times New Roman" w:eastAsia="Times New Roman" w:hAnsi="Times New Roman" w:cs="Times New Roman"/>
                      <w:b/>
                      <w:bCs/>
                      <w:sz w:val="19"/>
                      <w:szCs w:val="19"/>
                      <w:lang w:eastAsia="tr-TR"/>
                    </w:rPr>
                  </w:pPr>
                  <w:r w:rsidRPr="003611DD">
                    <w:rPr>
                      <w:rFonts w:ascii="Times New Roman" w:eastAsia="Times New Roman" w:hAnsi="Times New Roman" w:cs="Times New Roman"/>
                      <w:b/>
                      <w:bCs/>
                      <w:sz w:val="18"/>
                      <w:szCs w:val="18"/>
                      <w:lang w:eastAsia="tr-TR"/>
                    </w:rPr>
                    <w:t>TÜRK PARASI KIYMETİNİ KORUMA HAKKINDA 32 SAYILI KARARA İLİŞKİN</w:t>
                  </w:r>
                </w:p>
                <w:p w:rsidR="003611DD" w:rsidRPr="003611DD" w:rsidRDefault="003611DD" w:rsidP="003611DD">
                  <w:pPr>
                    <w:spacing w:after="0" w:line="240" w:lineRule="atLeast"/>
                    <w:jc w:val="center"/>
                    <w:rPr>
                      <w:rFonts w:ascii="Times New Roman" w:eastAsia="Times New Roman" w:hAnsi="Times New Roman" w:cs="Times New Roman"/>
                      <w:b/>
                      <w:bCs/>
                      <w:sz w:val="19"/>
                      <w:szCs w:val="19"/>
                      <w:lang w:eastAsia="tr-TR"/>
                    </w:rPr>
                  </w:pPr>
                  <w:r w:rsidRPr="003611DD">
                    <w:rPr>
                      <w:rFonts w:ascii="Times New Roman" w:eastAsia="Times New Roman" w:hAnsi="Times New Roman" w:cs="Times New Roman"/>
                      <w:b/>
                      <w:bCs/>
                      <w:sz w:val="18"/>
                      <w:szCs w:val="18"/>
                      <w:lang w:eastAsia="tr-TR"/>
                    </w:rPr>
                    <w:t>TEBLİĞ (TEBLİĞ NO: 2008-32/34)’DE DEĞİŞİKLİK YAPILMASINA</w:t>
                  </w:r>
                </w:p>
                <w:p w:rsidR="003611DD" w:rsidRPr="003611DD" w:rsidRDefault="003611DD" w:rsidP="003611DD">
                  <w:pPr>
                    <w:spacing w:after="170" w:line="240" w:lineRule="atLeast"/>
                    <w:jc w:val="center"/>
                    <w:rPr>
                      <w:rFonts w:ascii="Times New Roman" w:eastAsia="Times New Roman" w:hAnsi="Times New Roman" w:cs="Times New Roman"/>
                      <w:b/>
                      <w:bCs/>
                      <w:sz w:val="19"/>
                      <w:szCs w:val="19"/>
                      <w:lang w:eastAsia="tr-TR"/>
                    </w:rPr>
                  </w:pPr>
                  <w:r w:rsidRPr="003611DD">
                    <w:rPr>
                      <w:rFonts w:ascii="Times New Roman" w:eastAsia="Times New Roman" w:hAnsi="Times New Roman" w:cs="Times New Roman"/>
                      <w:b/>
                      <w:bCs/>
                      <w:sz w:val="18"/>
                      <w:szCs w:val="18"/>
                      <w:lang w:eastAsia="tr-TR"/>
                    </w:rPr>
                    <w:t>DAİR TEBLİĞ (TEBLİĞ NO: 2018-32/46)</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b/>
                      <w:bCs/>
                      <w:sz w:val="18"/>
                      <w:szCs w:val="18"/>
                      <w:lang w:eastAsia="tr-TR"/>
                    </w:rPr>
                    <w:t>MADDE 1 –</w:t>
                  </w:r>
                  <w:r w:rsidRPr="003611DD">
                    <w:rPr>
                      <w:rFonts w:ascii="Times New Roman" w:eastAsia="Times New Roman" w:hAnsi="Times New Roman" w:cs="Times New Roman"/>
                      <w:sz w:val="18"/>
                      <w:szCs w:val="18"/>
                      <w:lang w:eastAsia="tr-TR"/>
                    </w:rPr>
                    <w:t> 28/2/2008 tarihli ve 26801 sayılı Resmî Gazete’de yayımlanan Türk Parası Kıymetini Koruma Hakkında 32 Sayılı Karara İlişkin Tebliğ (Tebliğ No: 2008-32/34)’in 9 uncu maddesine aşağıdaki fıkra eklenmiştir.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“(2) Türkiye’de yerleşik kişilerin, kaldıraçlı işlemler ve kaldıraçlı işlemlerle aynı hükümlere tabi olduğu belirlenen türev araçları yalnızca Sermaye Piyasası Kurulu tarafından yetkilendirilmiş kuruluşlar aracılığıyla almaları ve satmaları serbesttir.”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b/>
                      <w:bCs/>
                      <w:sz w:val="18"/>
                      <w:szCs w:val="18"/>
                      <w:lang w:eastAsia="tr-TR"/>
                    </w:rPr>
                    <w:t>MADDE 2 –</w:t>
                  </w:r>
                  <w:r w:rsidRPr="003611DD">
                    <w:rPr>
                      <w:rFonts w:ascii="Times New Roman" w:eastAsia="Times New Roman" w:hAnsi="Times New Roman" w:cs="Times New Roman"/>
                      <w:sz w:val="18"/>
                      <w:szCs w:val="18"/>
                      <w:lang w:eastAsia="tr-TR"/>
                    </w:rPr>
                    <w:t> Aynı Tebliğin 11 inci maddesinin mülga beşinci fıkrası aşağıdaki şekilde yeniden düzenlenmiş, sekizinci fıkrası aşağıdaki şekilde değiştirilmiş, dokuzuncu ve on beşinci fıkraları yürürlükten kaldırılmıştır.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“(5) 32 sayılı Kararın 17 </w:t>
                  </w:r>
                  <w:proofErr w:type="spellStart"/>
                  <w:r w:rsidRPr="003611DD">
                    <w:rPr>
                      <w:rFonts w:ascii="Times New Roman" w:eastAsia="Times New Roman" w:hAnsi="Times New Roman" w:cs="Times New Roman"/>
                      <w:sz w:val="18"/>
                      <w:szCs w:val="18"/>
                      <w:lang w:eastAsia="tr-TR"/>
                    </w:rPr>
                    <w:t>nci</w:t>
                  </w:r>
                  <w:proofErr w:type="spellEnd"/>
                  <w:r w:rsidRPr="003611DD">
                    <w:rPr>
                      <w:rFonts w:ascii="Times New Roman" w:eastAsia="Times New Roman" w:hAnsi="Times New Roman" w:cs="Times New Roman"/>
                      <w:sz w:val="18"/>
                      <w:szCs w:val="18"/>
                      <w:lang w:eastAsia="tr-TR"/>
                    </w:rPr>
                    <w:t> maddesinin dördüncü fıkrası ile 17/A maddesinin dördüncü fıkrası uyarınca Türkiye’de yerleşik kişilerce yurt içi ve yurt dışından temin edilen döviz kredilerinde;</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a) Kullanım tarihinde, krediyi kullananın kredi bakiyesinin 15 milyon ABD Dolarının altında olması durumunda, kullanılmak istenen kredi tutarı ile mevcut kredi bakiyesi toplamı son üç mali yılın döviz gelirleri toplamını aşamaz.</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b) Kredi bakiyesi 15 milyon ABD Dolarının altında olan Türkiye’de yerleşik kişilerin döviz kredisi kullanım talepleri sırasında son üç mali yıla ilişkin döviz gelirlerini mali müşavirler tarafından onaylanmış belgelerle tevsik etmeleri zorunludur.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c) Kredi bakiyesinin son üç mali yılın döviz gelirleri toplamını aştığının sonradan tespit edilmesi durumunda yurt içinde bankalardan (serbest bölge şubeleri dâhil), finansal kiralama şirketlerinden, </w:t>
                  </w:r>
                  <w:proofErr w:type="spellStart"/>
                  <w:r w:rsidRPr="003611DD">
                    <w:rPr>
                      <w:rFonts w:ascii="Times New Roman" w:eastAsia="Times New Roman" w:hAnsi="Times New Roman" w:cs="Times New Roman"/>
                      <w:sz w:val="18"/>
                      <w:szCs w:val="18"/>
                      <w:lang w:eastAsia="tr-TR"/>
                    </w:rPr>
                    <w:t>faktoring</w:t>
                  </w:r>
                  <w:proofErr w:type="spellEnd"/>
                  <w:r w:rsidRPr="003611DD">
                    <w:rPr>
                      <w:rFonts w:ascii="Times New Roman" w:eastAsia="Times New Roman" w:hAnsi="Times New Roman" w:cs="Times New Roman"/>
                      <w:sz w:val="18"/>
                      <w:szCs w:val="18"/>
                      <w:lang w:eastAsia="tr-TR"/>
                    </w:rPr>
                    <w:t> şirketlerinden ve finansman şirketlerinden kullanılan kredilerin aşıma neden olan kısmı geri çağırılır veya Türk Lirası krediye dönüştürülür.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ç) Kredi bakiyesinin son üç mali yılın döviz gelirleri toplamını aştığının sonradan tespit edilmesi durumunda bankaların, finansal kiralama şirketlerinin, </w:t>
                  </w:r>
                  <w:proofErr w:type="spellStart"/>
                  <w:r w:rsidRPr="003611DD">
                    <w:rPr>
                      <w:rFonts w:ascii="Times New Roman" w:eastAsia="Times New Roman" w:hAnsi="Times New Roman" w:cs="Times New Roman"/>
                      <w:sz w:val="18"/>
                      <w:szCs w:val="18"/>
                      <w:lang w:eastAsia="tr-TR"/>
                    </w:rPr>
                    <w:t>faktoring</w:t>
                  </w:r>
                  <w:proofErr w:type="spellEnd"/>
                  <w:r w:rsidRPr="003611DD">
                    <w:rPr>
                      <w:rFonts w:ascii="Times New Roman" w:eastAsia="Times New Roman" w:hAnsi="Times New Roman" w:cs="Times New Roman"/>
                      <w:sz w:val="18"/>
                      <w:szCs w:val="18"/>
                      <w:lang w:eastAsia="tr-TR"/>
                    </w:rPr>
                    <w:t> şirketlerinin ve finansman şirketlerinin yurt dışındaki şubeleri (bankaların </w:t>
                  </w:r>
                  <w:proofErr w:type="spellStart"/>
                  <w:r w:rsidRPr="003611DD">
                    <w:rPr>
                      <w:rFonts w:ascii="Times New Roman" w:eastAsia="Times New Roman" w:hAnsi="Times New Roman" w:cs="Times New Roman"/>
                      <w:sz w:val="18"/>
                      <w:szCs w:val="18"/>
                      <w:lang w:eastAsia="tr-TR"/>
                    </w:rPr>
                    <w:t>off-shore</w:t>
                  </w:r>
                  <w:proofErr w:type="spellEnd"/>
                  <w:r w:rsidRPr="003611DD">
                    <w:rPr>
                      <w:rFonts w:ascii="Times New Roman" w:eastAsia="Times New Roman" w:hAnsi="Times New Roman" w:cs="Times New Roman"/>
                      <w:sz w:val="18"/>
                      <w:szCs w:val="18"/>
                      <w:lang w:eastAsia="tr-TR"/>
                    </w:rPr>
                    <w:t> şubeleri dâhil, serbest bölge şubeleri hariç) tarafından kullandırılan kredilerin aşıma neden olan kısmı geri çağırılır veya Türk Lirası krediye dönüştürülür.”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“(8) Bankalar ile Türkiye’de yerleşik finansal kiralama şirketleri, </w:t>
                  </w:r>
                  <w:proofErr w:type="spellStart"/>
                  <w:r w:rsidRPr="003611DD">
                    <w:rPr>
                      <w:rFonts w:ascii="Times New Roman" w:eastAsia="Times New Roman" w:hAnsi="Times New Roman" w:cs="Times New Roman"/>
                      <w:sz w:val="18"/>
                      <w:szCs w:val="18"/>
                      <w:lang w:eastAsia="tr-TR"/>
                    </w:rPr>
                    <w:t>faktoring</w:t>
                  </w:r>
                  <w:proofErr w:type="spellEnd"/>
                  <w:r w:rsidRPr="003611DD">
                    <w:rPr>
                      <w:rFonts w:ascii="Times New Roman" w:eastAsia="Times New Roman" w:hAnsi="Times New Roman" w:cs="Times New Roman"/>
                      <w:sz w:val="18"/>
                      <w:szCs w:val="18"/>
                      <w:lang w:eastAsia="tr-TR"/>
                    </w:rPr>
                    <w:t> şirketleri ve finansman şirketleri birbirlerine, ilgili mevzuat hükümleri saklı kalmak kaydıyla kendi teamülleri çerçevesinde doğrudan veya uluslararası </w:t>
                  </w:r>
                  <w:proofErr w:type="spellStart"/>
                  <w:r w:rsidRPr="003611DD">
                    <w:rPr>
                      <w:rFonts w:ascii="Times New Roman" w:eastAsia="Times New Roman" w:hAnsi="Times New Roman" w:cs="Times New Roman"/>
                      <w:sz w:val="18"/>
                      <w:szCs w:val="18"/>
                      <w:lang w:eastAsia="tr-TR"/>
                    </w:rPr>
                    <w:t>sendikasyona</w:t>
                  </w:r>
                  <w:proofErr w:type="spellEnd"/>
                  <w:r w:rsidRPr="003611DD">
                    <w:rPr>
                      <w:rFonts w:ascii="Times New Roman" w:eastAsia="Times New Roman" w:hAnsi="Times New Roman" w:cs="Times New Roman"/>
                      <w:sz w:val="18"/>
                      <w:szCs w:val="18"/>
                      <w:lang w:eastAsia="tr-TR"/>
                    </w:rPr>
                    <w:t> katılım yoluyla, vade sınırı bulunmaksızın döviz kredisi açabilirler.”</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b/>
                      <w:bCs/>
                      <w:sz w:val="18"/>
                      <w:szCs w:val="18"/>
                      <w:lang w:eastAsia="tr-TR"/>
                    </w:rPr>
                    <w:t>MADDE 3 – </w:t>
                  </w:r>
                  <w:r w:rsidRPr="003611DD">
                    <w:rPr>
                      <w:rFonts w:ascii="Times New Roman" w:eastAsia="Times New Roman" w:hAnsi="Times New Roman" w:cs="Times New Roman"/>
                      <w:sz w:val="18"/>
                      <w:szCs w:val="18"/>
                      <w:lang w:eastAsia="tr-TR"/>
                    </w:rPr>
                    <w:t>Bu Tebliğin;</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a) 2 </w:t>
                  </w:r>
                  <w:proofErr w:type="spellStart"/>
                  <w:r w:rsidRPr="003611DD">
                    <w:rPr>
                      <w:rFonts w:ascii="Times New Roman" w:eastAsia="Times New Roman" w:hAnsi="Times New Roman" w:cs="Times New Roman"/>
                      <w:sz w:val="18"/>
                      <w:szCs w:val="18"/>
                      <w:lang w:eastAsia="tr-TR"/>
                    </w:rPr>
                    <w:t>nci</w:t>
                  </w:r>
                  <w:proofErr w:type="spellEnd"/>
                  <w:r w:rsidRPr="003611DD">
                    <w:rPr>
                      <w:rFonts w:ascii="Times New Roman" w:eastAsia="Times New Roman" w:hAnsi="Times New Roman" w:cs="Times New Roman"/>
                      <w:sz w:val="18"/>
                      <w:szCs w:val="18"/>
                      <w:lang w:eastAsia="tr-TR"/>
                    </w:rPr>
                    <w:t> maddesi 2/5/2018 tarihinde,</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b) Diğer maddeleri yayımı tarihinde,</w:t>
                  </w:r>
                </w:p>
                <w:p w:rsidR="003611DD" w:rsidRPr="003611DD" w:rsidRDefault="003611DD" w:rsidP="003611DD">
                  <w:pPr>
                    <w:spacing w:after="0" w:line="240" w:lineRule="atLeast"/>
                    <w:ind w:firstLine="566"/>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sz w:val="18"/>
                      <w:szCs w:val="18"/>
                      <w:lang w:eastAsia="tr-TR"/>
                    </w:rPr>
                    <w:t>yürürlüğe girer.</w:t>
                  </w:r>
                </w:p>
                <w:p w:rsidR="003611DD" w:rsidRPr="003611DD" w:rsidRDefault="003611DD" w:rsidP="003611DD">
                  <w:pPr>
                    <w:spacing w:after="200" w:line="240" w:lineRule="atLeast"/>
                    <w:ind w:firstLine="567"/>
                    <w:jc w:val="both"/>
                    <w:rPr>
                      <w:rFonts w:ascii="Times New Roman" w:eastAsia="Times New Roman" w:hAnsi="Times New Roman" w:cs="Times New Roman"/>
                      <w:sz w:val="19"/>
                      <w:szCs w:val="19"/>
                      <w:lang w:eastAsia="tr-TR"/>
                    </w:rPr>
                  </w:pPr>
                  <w:r w:rsidRPr="003611DD">
                    <w:rPr>
                      <w:rFonts w:ascii="Times New Roman" w:eastAsia="Times New Roman" w:hAnsi="Times New Roman" w:cs="Times New Roman"/>
                      <w:b/>
                      <w:bCs/>
                      <w:sz w:val="18"/>
                      <w:szCs w:val="18"/>
                      <w:lang w:eastAsia="tr-TR"/>
                    </w:rPr>
                    <w:t>MADDE 4 –</w:t>
                  </w:r>
                  <w:r w:rsidRPr="003611DD">
                    <w:rPr>
                      <w:rFonts w:ascii="Times New Roman" w:eastAsia="Times New Roman" w:hAnsi="Times New Roman" w:cs="Times New Roman"/>
                      <w:sz w:val="18"/>
                      <w:szCs w:val="18"/>
                      <w:lang w:eastAsia="tr-TR"/>
                    </w:rPr>
                    <w:t> Bu Tebliği Hazine Müsteşarlığının bağlı olduğu Bakan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3611DD" w:rsidRPr="003611D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Tebliğin Yayımlandığı Resmî Gazete'nin</w:t>
                        </w:r>
                      </w:p>
                    </w:tc>
                  </w:tr>
                  <w:tr w:rsidR="003611DD" w:rsidRPr="003611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Sayısı</w:t>
                        </w:r>
                      </w:p>
                    </w:tc>
                  </w:tr>
                  <w:tr w:rsidR="003611DD" w:rsidRPr="003611D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28/2/2008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26801</w:t>
                        </w:r>
                      </w:p>
                    </w:tc>
                  </w:tr>
                  <w:tr w:rsidR="003611DD" w:rsidRPr="003611D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Tebliğde Değişiklik Yapan Tebliğlerin Yayımlandığı Resmî Gazete'nin</w:t>
                        </w:r>
                      </w:p>
                    </w:tc>
                  </w:tr>
                  <w:tr w:rsidR="003611DD" w:rsidRPr="003611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b/>
                            <w:bCs/>
                            <w:sz w:val="18"/>
                            <w:szCs w:val="18"/>
                            <w:lang w:eastAsia="tr-TR"/>
                          </w:rPr>
                          <w:t>Sayısı</w:t>
                        </w:r>
                      </w:p>
                    </w:tc>
                  </w:tr>
                  <w:tr w:rsidR="003611DD" w:rsidRPr="003611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ind w:right="467"/>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2/4/2009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27188</w:t>
                        </w:r>
                      </w:p>
                    </w:tc>
                  </w:tr>
                  <w:tr w:rsidR="003611DD" w:rsidRPr="003611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ind w:right="467"/>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11/7/2009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27285</w:t>
                        </w:r>
                      </w:p>
                    </w:tc>
                  </w:tr>
                  <w:tr w:rsidR="003611DD" w:rsidRPr="003611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ind w:right="467"/>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26/9/2012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28423</w:t>
                        </w:r>
                      </w:p>
                    </w:tc>
                  </w:tr>
                  <w:tr w:rsidR="003611DD" w:rsidRPr="003611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1DD" w:rsidRPr="003611DD" w:rsidRDefault="003611DD" w:rsidP="003611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ind w:right="467"/>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30/12/2015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1DD" w:rsidRPr="003611DD" w:rsidRDefault="003611DD" w:rsidP="003611DD">
                        <w:pPr>
                          <w:spacing w:after="0" w:line="240" w:lineRule="auto"/>
                          <w:jc w:val="center"/>
                          <w:rPr>
                            <w:rFonts w:ascii="Times New Roman" w:eastAsia="Times New Roman" w:hAnsi="Times New Roman" w:cs="Times New Roman"/>
                            <w:sz w:val="24"/>
                            <w:szCs w:val="24"/>
                            <w:lang w:eastAsia="tr-TR"/>
                          </w:rPr>
                        </w:pPr>
                        <w:r w:rsidRPr="003611DD">
                          <w:rPr>
                            <w:rFonts w:ascii="Times New Roman" w:eastAsia="Times New Roman" w:hAnsi="Times New Roman" w:cs="Times New Roman"/>
                            <w:sz w:val="18"/>
                            <w:szCs w:val="18"/>
                            <w:lang w:eastAsia="tr-TR"/>
                          </w:rPr>
                          <w:t>29578</w:t>
                        </w:r>
                      </w:p>
                    </w:tc>
                  </w:tr>
                </w:tbl>
                <w:p w:rsidR="003611DD" w:rsidRPr="003611DD" w:rsidRDefault="003611DD" w:rsidP="003611DD">
                  <w:pPr>
                    <w:spacing w:after="0" w:line="240" w:lineRule="auto"/>
                    <w:rPr>
                      <w:rFonts w:ascii="Times New Roman" w:eastAsia="Times New Roman" w:hAnsi="Times New Roman" w:cs="Times New Roman"/>
                      <w:sz w:val="24"/>
                      <w:szCs w:val="24"/>
                      <w:lang w:eastAsia="tr-TR"/>
                    </w:rPr>
                  </w:pPr>
                </w:p>
              </w:tc>
            </w:tr>
          </w:tbl>
          <w:p w:rsidR="003611DD" w:rsidRPr="003611DD" w:rsidRDefault="003611DD" w:rsidP="003611DD">
            <w:pPr>
              <w:spacing w:after="0" w:line="240" w:lineRule="auto"/>
              <w:rPr>
                <w:rFonts w:ascii="Times New Roman" w:eastAsia="Times New Roman" w:hAnsi="Times New Roman" w:cs="Times New Roman"/>
                <w:sz w:val="24"/>
                <w:szCs w:val="24"/>
                <w:lang w:eastAsia="tr-TR"/>
              </w:rPr>
            </w:pPr>
          </w:p>
        </w:tc>
      </w:tr>
    </w:tbl>
    <w:p w:rsidR="003611DD" w:rsidRPr="003611DD" w:rsidRDefault="003611DD" w:rsidP="003611DD">
      <w:pPr>
        <w:spacing w:after="0" w:line="240" w:lineRule="auto"/>
        <w:jc w:val="center"/>
        <w:rPr>
          <w:rFonts w:ascii="Times New Roman" w:eastAsia="Times New Roman" w:hAnsi="Times New Roman" w:cs="Times New Roman"/>
          <w:color w:val="000000"/>
          <w:sz w:val="27"/>
          <w:szCs w:val="27"/>
          <w:lang w:eastAsia="tr-TR"/>
        </w:rPr>
      </w:pPr>
      <w:r w:rsidRPr="003611DD">
        <w:rPr>
          <w:rFonts w:ascii="Times New Roman" w:eastAsia="Times New Roman" w:hAnsi="Times New Roman" w:cs="Times New Roman"/>
          <w:color w:val="000000"/>
          <w:sz w:val="27"/>
          <w:szCs w:val="27"/>
          <w:lang w:eastAsia="tr-TR"/>
        </w:rPr>
        <w:t> </w:t>
      </w:r>
    </w:p>
    <w:p w:rsidR="00BA6109" w:rsidRDefault="00BA6109">
      <w:bookmarkStart w:id="0" w:name="_GoBack"/>
      <w:bookmarkEnd w:id="0"/>
    </w:p>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DD"/>
    <w:rsid w:val="003611DD"/>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A47A-AFAD-4866-B188-78CCD757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1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61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61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611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611DD"/>
  </w:style>
  <w:style w:type="character" w:customStyle="1" w:styleId="spelle">
    <w:name w:val="spelle"/>
    <w:basedOn w:val="VarsaylanParagrafYazTipi"/>
    <w:rsid w:val="003611DD"/>
  </w:style>
  <w:style w:type="paragraph" w:customStyle="1" w:styleId="3-normalyaz">
    <w:name w:val="3-normalyaz"/>
    <w:basedOn w:val="Normal"/>
    <w:rsid w:val="003611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1</cp:revision>
  <dcterms:created xsi:type="dcterms:W3CDTF">2018-01-30T19:10:00Z</dcterms:created>
  <dcterms:modified xsi:type="dcterms:W3CDTF">2018-01-30T19:11:00Z</dcterms:modified>
</cp:coreProperties>
</file>